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274" w:rsidRDefault="004A3274" w:rsidP="004A3274">
      <w:pPr>
        <w:pStyle w:val="30"/>
        <w:shd w:val="clear" w:color="auto" w:fill="auto"/>
        <w:spacing w:after="0" w:line="240" w:lineRule="auto"/>
        <w:ind w:right="-19" w:firstLine="709"/>
        <w:jc w:val="right"/>
      </w:pPr>
      <w:r>
        <w:t>Приложение № 2.1 к Приказу</w:t>
      </w:r>
    </w:p>
    <w:p w:rsidR="00D54DF4" w:rsidRDefault="004A3274" w:rsidP="004A3274">
      <w:pPr>
        <w:pStyle w:val="30"/>
        <w:shd w:val="clear" w:color="auto" w:fill="auto"/>
        <w:spacing w:after="0" w:line="240" w:lineRule="auto"/>
        <w:ind w:right="-19" w:firstLine="709"/>
        <w:jc w:val="right"/>
      </w:pPr>
      <w:r>
        <w:t>Минэнерго России от 24.03.2010 № 114</w:t>
      </w:r>
    </w:p>
    <w:p w:rsidR="00D54DF4" w:rsidRDefault="004A3274" w:rsidP="004A3274">
      <w:pPr>
        <w:pStyle w:val="20"/>
        <w:shd w:val="clear" w:color="auto" w:fill="auto"/>
        <w:spacing w:before="0" w:after="0" w:line="240" w:lineRule="auto"/>
        <w:ind w:right="-19" w:firstLine="709"/>
      </w:pPr>
      <w:r>
        <w:t>ПОЯСНИТЕЛЬНАЯ ЗАПИСКА</w:t>
      </w:r>
    </w:p>
    <w:p w:rsidR="00317D9E" w:rsidRDefault="00317D9E" w:rsidP="004A3274">
      <w:pPr>
        <w:pStyle w:val="20"/>
        <w:shd w:val="clear" w:color="auto" w:fill="auto"/>
        <w:spacing w:before="0" w:after="0" w:line="240" w:lineRule="auto"/>
        <w:ind w:right="-19" w:firstLine="709"/>
      </w:pPr>
    </w:p>
    <w:p w:rsidR="00D54DF4" w:rsidRDefault="004A3274" w:rsidP="00317D9E">
      <w:pPr>
        <w:pStyle w:val="20"/>
        <w:shd w:val="clear" w:color="auto" w:fill="auto"/>
        <w:spacing w:before="0" w:after="0" w:line="240" w:lineRule="auto"/>
        <w:ind w:right="-19"/>
        <w:jc w:val="right"/>
      </w:pPr>
      <w:r>
        <w:t>к Программе инвестиционного развития ОАО Юрьевецкие электрические сети» на 20</w:t>
      </w:r>
      <w:r w:rsidR="009B1774">
        <w:t>20</w:t>
      </w:r>
      <w:r>
        <w:t xml:space="preserve"> год</w:t>
      </w:r>
    </w:p>
    <w:p w:rsidR="00317D9E" w:rsidRDefault="00317D9E" w:rsidP="00317D9E">
      <w:pPr>
        <w:pStyle w:val="20"/>
        <w:shd w:val="clear" w:color="auto" w:fill="auto"/>
        <w:spacing w:before="0" w:after="0" w:line="240" w:lineRule="auto"/>
        <w:ind w:right="-19"/>
        <w:jc w:val="right"/>
      </w:pPr>
    </w:p>
    <w:p w:rsidR="00D54DF4" w:rsidRDefault="004A3274" w:rsidP="004A3274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240" w:lineRule="auto"/>
        <w:ind w:right="-19" w:firstLine="709"/>
      </w:pPr>
      <w:bookmarkStart w:id="0" w:name="bookmark0"/>
      <w:r>
        <w:t>Общие сведения об организации:</w:t>
      </w:r>
      <w:bookmarkEnd w:id="0"/>
    </w:p>
    <w:p w:rsidR="00D54DF4" w:rsidRDefault="004A3274" w:rsidP="004A3274">
      <w:pPr>
        <w:pStyle w:val="20"/>
        <w:shd w:val="clear" w:color="auto" w:fill="auto"/>
        <w:tabs>
          <w:tab w:val="left" w:pos="2604"/>
        </w:tabs>
        <w:spacing w:before="0" w:after="0" w:line="240" w:lineRule="auto"/>
        <w:ind w:right="-19" w:firstLine="709"/>
        <w:jc w:val="both"/>
      </w:pPr>
      <w:r>
        <w:t>Наименование:</w:t>
      </w:r>
      <w:r>
        <w:tab/>
        <w:t>Открытое акционерное общество «Юрьевецкие электрические сети».</w:t>
      </w:r>
    </w:p>
    <w:p w:rsidR="00D54DF4" w:rsidRDefault="004A3274" w:rsidP="004A3274">
      <w:pPr>
        <w:pStyle w:val="20"/>
        <w:shd w:val="clear" w:color="auto" w:fill="auto"/>
        <w:spacing w:before="0" w:after="0" w:line="240" w:lineRule="auto"/>
        <w:ind w:right="-19" w:firstLine="709"/>
        <w:jc w:val="left"/>
      </w:pPr>
      <w:r>
        <w:t>Генеральный директор – Волков Алексей Андреевич</w:t>
      </w:r>
    </w:p>
    <w:p w:rsidR="00D54DF4" w:rsidRDefault="004A3274" w:rsidP="004A3274">
      <w:pPr>
        <w:pStyle w:val="20"/>
        <w:shd w:val="clear" w:color="auto" w:fill="auto"/>
        <w:spacing w:before="0" w:after="0" w:line="240" w:lineRule="auto"/>
        <w:ind w:right="-19" w:firstLine="709"/>
        <w:jc w:val="left"/>
      </w:pPr>
      <w:r>
        <w:t>Адрес: РФ, 153013, Ивановская область, г. Иваново, ул.</w:t>
      </w:r>
      <w:r w:rsidR="009A392F">
        <w:t xml:space="preserve"> </w:t>
      </w:r>
      <w:r>
        <w:t>Кавалерийская, д.3, офис 1001, помещение 6, тел. (4932) 48-22-14</w:t>
      </w:r>
    </w:p>
    <w:p w:rsidR="00D54DF4" w:rsidRDefault="004A3274" w:rsidP="004A3274">
      <w:pPr>
        <w:pStyle w:val="20"/>
        <w:shd w:val="clear" w:color="auto" w:fill="auto"/>
        <w:spacing w:before="0" w:after="0" w:line="240" w:lineRule="auto"/>
        <w:ind w:right="-19" w:firstLine="709"/>
        <w:jc w:val="left"/>
      </w:pPr>
      <w:r>
        <w:t>Основным видом деятельности ОАО «Юрьевецкие электрические сети» является транспорт электрической энергии. Регион деятельности общества - Ивановская область.</w:t>
      </w:r>
    </w:p>
    <w:p w:rsidR="00D54DF4" w:rsidRDefault="004A3274" w:rsidP="004A3274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 w:line="240" w:lineRule="auto"/>
        <w:ind w:right="-19" w:firstLine="709"/>
      </w:pPr>
      <w:bookmarkStart w:id="1" w:name="bookmark1"/>
      <w:r>
        <w:rPr>
          <w:rStyle w:val="11"/>
          <w:b/>
          <w:bCs/>
        </w:rPr>
        <w:t>Объекты инвестиционной программы.</w:t>
      </w:r>
      <w:bookmarkEnd w:id="1"/>
    </w:p>
    <w:p w:rsidR="00685C1D" w:rsidRPr="00685C1D" w:rsidRDefault="00811E06" w:rsidP="00811E06">
      <w:pPr>
        <w:pStyle w:val="120"/>
        <w:keepNext/>
        <w:keepLines/>
        <w:numPr>
          <w:ilvl w:val="1"/>
          <w:numId w:val="8"/>
        </w:numPr>
        <w:shd w:val="clear" w:color="auto" w:fill="auto"/>
        <w:spacing w:before="100" w:beforeAutospacing="1" w:after="100" w:afterAutospacing="1" w:line="240" w:lineRule="auto"/>
        <w:ind w:left="539" w:hanging="539"/>
        <w:jc w:val="both"/>
        <w:rPr>
          <w:b/>
        </w:rPr>
      </w:pPr>
      <w:bookmarkStart w:id="2" w:name="bookmark22"/>
      <w:bookmarkStart w:id="3" w:name="bookmark3"/>
      <w:r w:rsidRPr="00811E06">
        <w:rPr>
          <w:b/>
        </w:rPr>
        <w:t>Замена приборов учета электрической энергии на интеллектуальные устройства учета и сбора данных с устройством беспроводной системы диспетчеризации (установка системы АИИСКУЭ с возможностью дистанционно управлять нагрузками потребителей)</w:t>
      </w:r>
      <w:r w:rsidR="00685C1D" w:rsidRPr="00685C1D">
        <w:rPr>
          <w:b/>
        </w:rPr>
        <w:t>.</w:t>
      </w:r>
      <w:bookmarkEnd w:id="2"/>
    </w:p>
    <w:p w:rsidR="00685C1D" w:rsidRDefault="00685C1D" w:rsidP="00685C1D">
      <w:pPr>
        <w:pStyle w:val="40"/>
        <w:shd w:val="clear" w:color="auto" w:fill="auto"/>
        <w:spacing w:before="0" w:after="0" w:line="240" w:lineRule="auto"/>
        <w:ind w:right="340" w:firstLine="902"/>
        <w:jc w:val="both"/>
      </w:pPr>
      <w:r>
        <w:t>Работы планируется выполнять за счет амортизационных отчислений на полное восстановление основных фондов.</w:t>
      </w:r>
    </w:p>
    <w:tbl>
      <w:tblPr>
        <w:tblW w:w="10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54"/>
        <w:gridCol w:w="7536"/>
        <w:gridCol w:w="1080"/>
        <w:gridCol w:w="1084"/>
      </w:tblGrid>
      <w:tr w:rsidR="00811E06" w:rsidTr="00811E06">
        <w:tc>
          <w:tcPr>
            <w:tcW w:w="554" w:type="dxa"/>
            <w:shd w:val="clear" w:color="auto" w:fill="FFFFFF"/>
          </w:tcPr>
          <w:p w:rsidR="00811E06" w:rsidRDefault="00811E06" w:rsidP="00685C1D">
            <w:pPr>
              <w:rPr>
                <w:sz w:val="10"/>
                <w:szCs w:val="10"/>
              </w:rPr>
            </w:pPr>
          </w:p>
        </w:tc>
        <w:tc>
          <w:tcPr>
            <w:tcW w:w="7536" w:type="dxa"/>
            <w:shd w:val="clear" w:color="auto" w:fill="FFFFFF"/>
            <w:vAlign w:val="center"/>
          </w:tcPr>
          <w:p w:rsidR="00811E06" w:rsidRDefault="00811E06" w:rsidP="00685C1D">
            <w:pPr>
              <w:pStyle w:val="20"/>
              <w:shd w:val="clear" w:color="auto" w:fill="auto"/>
              <w:spacing w:before="0" w:after="0" w:line="240" w:lineRule="exact"/>
            </w:pPr>
            <w:r>
              <w:t>Показатели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11E06" w:rsidRDefault="00811E06" w:rsidP="00685C1D">
            <w:pPr>
              <w:pStyle w:val="20"/>
              <w:shd w:val="clear" w:color="auto" w:fill="auto"/>
              <w:spacing w:before="0" w:line="240" w:lineRule="exact"/>
            </w:pPr>
            <w:r>
              <w:t>Ед.</w:t>
            </w:r>
          </w:p>
          <w:p w:rsidR="00811E06" w:rsidRDefault="00811E06" w:rsidP="00685C1D">
            <w:pPr>
              <w:pStyle w:val="20"/>
              <w:shd w:val="clear" w:color="auto" w:fill="auto"/>
              <w:spacing w:before="120" w:after="0" w:line="240" w:lineRule="exact"/>
            </w:pPr>
            <w:r>
              <w:t>изм.</w:t>
            </w:r>
          </w:p>
        </w:tc>
        <w:tc>
          <w:tcPr>
            <w:tcW w:w="1084" w:type="dxa"/>
            <w:shd w:val="clear" w:color="auto" w:fill="FFFFFF"/>
            <w:vAlign w:val="center"/>
          </w:tcPr>
          <w:p w:rsidR="00811E06" w:rsidRDefault="00811E06" w:rsidP="00685C1D">
            <w:pPr>
              <w:pStyle w:val="20"/>
              <w:shd w:val="clear" w:color="auto" w:fill="auto"/>
              <w:spacing w:before="60" w:after="0" w:line="180" w:lineRule="exact"/>
            </w:pPr>
            <w:r>
              <w:t>2020 г</w:t>
            </w:r>
          </w:p>
        </w:tc>
      </w:tr>
      <w:tr w:rsidR="00811E06" w:rsidTr="00811E06">
        <w:tc>
          <w:tcPr>
            <w:tcW w:w="554" w:type="dxa"/>
            <w:shd w:val="clear" w:color="auto" w:fill="FFFFFF"/>
            <w:vAlign w:val="center"/>
          </w:tcPr>
          <w:p w:rsidR="00811E06" w:rsidRDefault="00811E06" w:rsidP="00685C1D">
            <w:pPr>
              <w:pStyle w:val="20"/>
              <w:shd w:val="clear" w:color="auto" w:fill="auto"/>
              <w:spacing w:before="0" w:after="0" w:line="240" w:lineRule="exact"/>
              <w:ind w:left="260"/>
              <w:jc w:val="left"/>
            </w:pPr>
            <w:r>
              <w:t>1</w:t>
            </w:r>
          </w:p>
        </w:tc>
        <w:tc>
          <w:tcPr>
            <w:tcW w:w="7536" w:type="dxa"/>
            <w:shd w:val="clear" w:color="auto" w:fill="FFFFFF"/>
            <w:vAlign w:val="center"/>
          </w:tcPr>
          <w:p w:rsidR="00811E06" w:rsidRDefault="00811E06" w:rsidP="00685C1D">
            <w:pPr>
              <w:pStyle w:val="20"/>
              <w:shd w:val="clear" w:color="auto" w:fill="auto"/>
              <w:spacing w:before="0" w:after="0" w:line="252" w:lineRule="exact"/>
              <w:jc w:val="left"/>
            </w:pPr>
            <w:r w:rsidRPr="00685C1D">
              <w:t>Модернизация учета электрической энергии с устройством беспроводной системы диспетчеризации (установка системы АИИСКУЭ с возможностью дистанционно управлять нагрузками потребителей)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811E06" w:rsidRDefault="00811E06" w:rsidP="00685C1D">
            <w:pPr>
              <w:pStyle w:val="20"/>
              <w:shd w:val="clear" w:color="auto" w:fill="auto"/>
              <w:spacing w:before="0" w:after="0" w:line="240" w:lineRule="exact"/>
              <w:jc w:val="left"/>
            </w:pPr>
            <w:r>
              <w:t>млн.руб.</w:t>
            </w:r>
          </w:p>
        </w:tc>
        <w:tc>
          <w:tcPr>
            <w:tcW w:w="1084" w:type="dxa"/>
            <w:shd w:val="clear" w:color="auto" w:fill="FFFFFF"/>
            <w:vAlign w:val="center"/>
          </w:tcPr>
          <w:p w:rsidR="00811E06" w:rsidRDefault="000243F0" w:rsidP="00685C1D">
            <w:pPr>
              <w:pStyle w:val="20"/>
              <w:shd w:val="clear" w:color="auto" w:fill="auto"/>
              <w:spacing w:before="0" w:after="0" w:line="240" w:lineRule="exact"/>
            </w:pPr>
            <w:r>
              <w:t>3,440</w:t>
            </w:r>
          </w:p>
        </w:tc>
      </w:tr>
    </w:tbl>
    <w:p w:rsidR="00685C1D" w:rsidRDefault="00685C1D" w:rsidP="00685C1D">
      <w:pPr>
        <w:pStyle w:val="40"/>
        <w:shd w:val="clear" w:color="auto" w:fill="auto"/>
        <w:spacing w:before="0" w:after="0" w:line="284" w:lineRule="exact"/>
        <w:ind w:firstLine="980"/>
        <w:jc w:val="both"/>
      </w:pPr>
      <w:r>
        <w:t xml:space="preserve">Основной целью внедрения автоматических систем коммерческого учета электроэнергии является </w:t>
      </w:r>
      <w:r w:rsidR="00811E06">
        <w:t>о</w:t>
      </w:r>
      <w:r w:rsidR="00811E06" w:rsidRPr="00811E06">
        <w:t>беспечение исполнения требований законодательства РФ (Федеральный закон от 26.03.2003 N 35-ФЗ "Об электроэнергетике", ст. 37, п.5)</w:t>
      </w:r>
      <w:r w:rsidR="00811E06">
        <w:t xml:space="preserve">, а так же </w:t>
      </w:r>
      <w:r>
        <w:t>снижение издержек и затрат на потребление энергоресурсов, повышение точности полученных данных и сокращения времени сбора и обработки. Автоматизация учета электроэнергии на всех этапах, от производства до потребления, становится непременным условием эффективного функционирования современных энергосистем.</w:t>
      </w:r>
    </w:p>
    <w:p w:rsidR="00685C1D" w:rsidRDefault="00685C1D" w:rsidP="00685C1D">
      <w:pPr>
        <w:pStyle w:val="40"/>
        <w:shd w:val="clear" w:color="auto" w:fill="auto"/>
        <w:spacing w:before="0" w:after="0" w:line="277" w:lineRule="exact"/>
        <w:ind w:firstLine="980"/>
        <w:jc w:val="both"/>
      </w:pPr>
      <w:r>
        <w:t>Такая система учета энергоресурсов представляет собой целый комплекс оборудования и программно-технических средств, в состав которых входят приборы учёта электроэнергии, устройства, отвечающие за сбор и передачу данных, рабочие станции для анализа информации и серверные аппаратно-программные комплексы.</w:t>
      </w:r>
    </w:p>
    <w:p w:rsidR="00685C1D" w:rsidRDefault="00685C1D" w:rsidP="00685C1D">
      <w:pPr>
        <w:pStyle w:val="40"/>
        <w:shd w:val="clear" w:color="auto" w:fill="auto"/>
        <w:spacing w:before="0" w:after="0" w:line="277" w:lineRule="exact"/>
        <w:ind w:firstLine="980"/>
        <w:jc w:val="both"/>
      </w:pPr>
      <w:r>
        <w:t>Преимущества внедрения автоматизированных систем (АИИСКУЭ):</w:t>
      </w:r>
    </w:p>
    <w:p w:rsidR="00685C1D" w:rsidRDefault="00685C1D" w:rsidP="00685C1D">
      <w:pPr>
        <w:pStyle w:val="40"/>
        <w:numPr>
          <w:ilvl w:val="0"/>
          <w:numId w:val="9"/>
        </w:numPr>
        <w:shd w:val="clear" w:color="auto" w:fill="auto"/>
        <w:tabs>
          <w:tab w:val="left" w:pos="1040"/>
        </w:tabs>
        <w:spacing w:before="0" w:after="0" w:line="310" w:lineRule="exact"/>
        <w:ind w:firstLine="880"/>
        <w:jc w:val="both"/>
      </w:pPr>
      <w:r>
        <w:t>возможность получения данных от приборов учета по радио каналам;</w:t>
      </w:r>
    </w:p>
    <w:p w:rsidR="00685C1D" w:rsidRDefault="00685C1D" w:rsidP="00685C1D">
      <w:pPr>
        <w:pStyle w:val="40"/>
        <w:numPr>
          <w:ilvl w:val="0"/>
          <w:numId w:val="9"/>
        </w:numPr>
        <w:shd w:val="clear" w:color="auto" w:fill="auto"/>
        <w:tabs>
          <w:tab w:val="left" w:pos="1081"/>
        </w:tabs>
        <w:spacing w:before="0" w:after="0" w:line="270" w:lineRule="exact"/>
        <w:ind w:firstLine="880"/>
        <w:jc w:val="both"/>
      </w:pPr>
      <w:r>
        <w:t>возможность удаленного изменения настроек тарификации;</w:t>
      </w:r>
    </w:p>
    <w:p w:rsidR="00685C1D" w:rsidRDefault="00685C1D" w:rsidP="00685C1D">
      <w:pPr>
        <w:pStyle w:val="40"/>
        <w:numPr>
          <w:ilvl w:val="0"/>
          <w:numId w:val="9"/>
        </w:numPr>
        <w:shd w:val="clear" w:color="auto" w:fill="auto"/>
        <w:tabs>
          <w:tab w:val="left" w:pos="1085"/>
        </w:tabs>
        <w:spacing w:before="0" w:after="0" w:line="270" w:lineRule="exact"/>
        <w:ind w:firstLine="880"/>
        <w:jc w:val="both"/>
      </w:pPr>
      <w:r>
        <w:t>автоматизированная обработка информации, хранение и представление данных;</w:t>
      </w:r>
    </w:p>
    <w:p w:rsidR="00685C1D" w:rsidRDefault="00685C1D" w:rsidP="00685C1D">
      <w:pPr>
        <w:pStyle w:val="40"/>
        <w:numPr>
          <w:ilvl w:val="0"/>
          <w:numId w:val="9"/>
        </w:numPr>
        <w:shd w:val="clear" w:color="auto" w:fill="auto"/>
        <w:tabs>
          <w:tab w:val="left" w:pos="1085"/>
        </w:tabs>
        <w:spacing w:before="0" w:after="0" w:line="270" w:lineRule="exact"/>
        <w:ind w:firstLine="880"/>
        <w:jc w:val="both"/>
      </w:pPr>
      <w:r>
        <w:t>интеграция систем расчетов с потребителями и энергосбытовыми организациями;</w:t>
      </w:r>
    </w:p>
    <w:p w:rsidR="00685C1D" w:rsidRDefault="00685C1D" w:rsidP="00685C1D">
      <w:pPr>
        <w:pStyle w:val="40"/>
        <w:numPr>
          <w:ilvl w:val="0"/>
          <w:numId w:val="9"/>
        </w:numPr>
        <w:shd w:val="clear" w:color="auto" w:fill="auto"/>
        <w:tabs>
          <w:tab w:val="left" w:pos="1085"/>
        </w:tabs>
        <w:spacing w:before="0" w:after="0" w:line="240" w:lineRule="exact"/>
        <w:ind w:firstLine="880"/>
        <w:jc w:val="left"/>
      </w:pPr>
      <w:r>
        <w:t>дополнительные возможности получения и анализа данных при единовременном сборе;</w:t>
      </w:r>
    </w:p>
    <w:p w:rsidR="00685C1D" w:rsidRDefault="00685C1D" w:rsidP="00685C1D">
      <w:pPr>
        <w:pStyle w:val="40"/>
        <w:numPr>
          <w:ilvl w:val="0"/>
          <w:numId w:val="9"/>
        </w:numPr>
        <w:shd w:val="clear" w:color="auto" w:fill="auto"/>
        <w:tabs>
          <w:tab w:val="left" w:pos="1051"/>
        </w:tabs>
        <w:spacing w:before="0" w:after="0" w:line="240" w:lineRule="auto"/>
        <w:ind w:firstLine="879"/>
        <w:jc w:val="both"/>
      </w:pPr>
      <w:r>
        <w:t>контроль и управление режимами потребления, дополнительная защита от хищений электроэнергии.</w:t>
      </w:r>
    </w:p>
    <w:p w:rsidR="00685C1D" w:rsidRDefault="00685C1D" w:rsidP="00685C1D">
      <w:pPr>
        <w:pStyle w:val="40"/>
        <w:shd w:val="clear" w:color="auto" w:fill="auto"/>
        <w:tabs>
          <w:tab w:val="left" w:pos="1051"/>
        </w:tabs>
        <w:spacing w:before="0" w:after="0" w:line="240" w:lineRule="auto"/>
        <w:ind w:left="879"/>
        <w:jc w:val="both"/>
      </w:pPr>
    </w:p>
    <w:p w:rsidR="00685C1D" w:rsidRDefault="00685C1D" w:rsidP="00685C1D">
      <w:pPr>
        <w:rPr>
          <w:sz w:val="2"/>
          <w:szCs w:val="2"/>
        </w:rPr>
      </w:pPr>
    </w:p>
    <w:bookmarkEnd w:id="3"/>
    <w:p w:rsidR="00D54DF4" w:rsidRDefault="003363E4" w:rsidP="00317D9E">
      <w:pPr>
        <w:pStyle w:val="10"/>
        <w:keepNext/>
        <w:keepLines/>
        <w:numPr>
          <w:ilvl w:val="1"/>
          <w:numId w:val="8"/>
        </w:numPr>
        <w:shd w:val="clear" w:color="auto" w:fill="auto"/>
        <w:tabs>
          <w:tab w:val="left" w:pos="1062"/>
        </w:tabs>
        <w:spacing w:before="0" w:after="0" w:line="240" w:lineRule="auto"/>
        <w:ind w:right="-19"/>
      </w:pPr>
      <w:r w:rsidRPr="003363E4">
        <w:t>Приобретение компьютерной техники</w:t>
      </w:r>
    </w:p>
    <w:p w:rsidR="00D54DF4" w:rsidRDefault="004A3274" w:rsidP="004A3274">
      <w:pPr>
        <w:pStyle w:val="20"/>
        <w:shd w:val="clear" w:color="auto" w:fill="auto"/>
        <w:spacing w:before="0" w:after="0" w:line="240" w:lineRule="auto"/>
        <w:ind w:right="-19" w:firstLine="709"/>
        <w:jc w:val="both"/>
      </w:pPr>
      <w:r>
        <w:t>Целевое назначение:</w:t>
      </w:r>
      <w:r w:rsidR="00C06185">
        <w:t xml:space="preserve"> </w:t>
      </w:r>
      <w:r w:rsidR="00C06185" w:rsidRPr="00C06185">
        <w:t>обеспеч</w:t>
      </w:r>
      <w:r w:rsidR="00C06185">
        <w:t>ение</w:t>
      </w:r>
      <w:r w:rsidR="00C06185" w:rsidRPr="00C06185">
        <w:t xml:space="preserve"> качественн</w:t>
      </w:r>
      <w:r w:rsidR="00C06185">
        <w:t>ого</w:t>
      </w:r>
      <w:r w:rsidR="00C06185" w:rsidRPr="00C06185">
        <w:t xml:space="preserve"> доступ</w:t>
      </w:r>
      <w:r w:rsidR="00C06185">
        <w:t>а</w:t>
      </w:r>
      <w:r w:rsidR="00C06185" w:rsidRPr="00C06185">
        <w:t xml:space="preserve"> к минимальному набору функций интеллектуальных сис</w:t>
      </w:r>
      <w:r w:rsidR="00C06185">
        <w:t>тем учета электрической энергии,</w:t>
      </w:r>
      <w:r>
        <w:t xml:space="preserve"> для обеспечения надёжности электроснабжения потребителей </w:t>
      </w:r>
      <w:r w:rsidR="00317D9E">
        <w:t>и повышения качества обслуживания потребителей</w:t>
      </w:r>
      <w:r w:rsidR="00C06185">
        <w:t>,</w:t>
      </w:r>
      <w:r>
        <w:t xml:space="preserve"> </w:t>
      </w:r>
      <w:r w:rsidR="00317D9E" w:rsidRPr="00317D9E">
        <w:t>приобретение  персональных компьютеров, взамен используемых в О</w:t>
      </w:r>
      <w:r w:rsidR="00317D9E">
        <w:t>А</w:t>
      </w:r>
      <w:r w:rsidR="00317D9E" w:rsidRPr="00317D9E">
        <w:t>О «</w:t>
      </w:r>
      <w:r w:rsidR="00317D9E">
        <w:t>Юрьевецкие электрические сети</w:t>
      </w:r>
      <w:r w:rsidR="00317D9E" w:rsidRPr="00317D9E">
        <w:t>» с 200</w:t>
      </w:r>
      <w:r w:rsidR="00317D9E">
        <w:t>9</w:t>
      </w:r>
      <w:r w:rsidR="00317D9E" w:rsidRPr="00317D9E">
        <w:t xml:space="preserve"> года. Техника физически устарела и не позволяет производить ремонты и техобслуживания в связи с отсутствием подходящих комплектующих</w:t>
      </w:r>
      <w:r>
        <w:t>.</w:t>
      </w:r>
    </w:p>
    <w:p w:rsidR="00D54DF4" w:rsidRDefault="004A3274" w:rsidP="004A3274">
      <w:pPr>
        <w:pStyle w:val="20"/>
        <w:shd w:val="clear" w:color="auto" w:fill="auto"/>
        <w:spacing w:before="0" w:after="0" w:line="240" w:lineRule="auto"/>
        <w:ind w:right="-19" w:firstLine="709"/>
        <w:jc w:val="both"/>
      </w:pPr>
      <w:r>
        <w:t xml:space="preserve">Стоимость - </w:t>
      </w:r>
      <w:r w:rsidR="00811E06">
        <w:t>598</w:t>
      </w:r>
      <w:r>
        <w:t xml:space="preserve"> тыс. руб. с НДС.</w:t>
      </w:r>
    </w:p>
    <w:p w:rsidR="00D54DF4" w:rsidRDefault="004A3274" w:rsidP="004A3274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935"/>
        </w:tabs>
        <w:spacing w:before="0" w:after="0" w:line="240" w:lineRule="auto"/>
        <w:ind w:right="-19" w:firstLine="709"/>
      </w:pPr>
      <w:bookmarkStart w:id="4" w:name="bookmark13"/>
      <w:r>
        <w:rPr>
          <w:rStyle w:val="11"/>
          <w:b/>
          <w:bCs/>
        </w:rPr>
        <w:lastRenderedPageBreak/>
        <w:t>Источник финансирования</w:t>
      </w:r>
      <w:bookmarkEnd w:id="4"/>
    </w:p>
    <w:p w:rsidR="00D54DF4" w:rsidRDefault="004A3274" w:rsidP="004A3274">
      <w:pPr>
        <w:pStyle w:val="20"/>
        <w:shd w:val="clear" w:color="auto" w:fill="auto"/>
        <w:spacing w:before="0" w:after="0" w:line="240" w:lineRule="auto"/>
        <w:ind w:right="-19" w:firstLine="709"/>
        <w:jc w:val="both"/>
      </w:pPr>
      <w:r>
        <w:t>В качестве источников финансирования рассматриваются собственные источники (прибыль) и привлеченные.</w:t>
      </w:r>
    </w:p>
    <w:p w:rsidR="00D54DF4" w:rsidRDefault="004A3274" w:rsidP="004A3274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935"/>
        </w:tabs>
        <w:spacing w:before="0" w:after="0" w:line="240" w:lineRule="auto"/>
        <w:ind w:right="-19" w:firstLine="709"/>
      </w:pPr>
      <w:bookmarkStart w:id="5" w:name="bookmark14"/>
      <w:r>
        <w:rPr>
          <w:rStyle w:val="11"/>
          <w:b/>
          <w:bCs/>
        </w:rPr>
        <w:t>Заключение</w:t>
      </w:r>
      <w:bookmarkEnd w:id="5"/>
    </w:p>
    <w:p w:rsidR="00D54DF4" w:rsidRDefault="004A3274" w:rsidP="004A3274">
      <w:pPr>
        <w:pStyle w:val="20"/>
        <w:shd w:val="clear" w:color="auto" w:fill="auto"/>
        <w:spacing w:before="0" w:after="0" w:line="240" w:lineRule="auto"/>
        <w:ind w:right="-19" w:firstLine="709"/>
        <w:jc w:val="both"/>
      </w:pPr>
      <w:r>
        <w:t>Предлагаемые мероприятия, кроме задач обновления и восполнения основных фондов, решает важные социальные задачи:</w:t>
      </w:r>
    </w:p>
    <w:p w:rsidR="00D54DF4" w:rsidRDefault="004A3274" w:rsidP="004A3274">
      <w:pPr>
        <w:pStyle w:val="20"/>
        <w:shd w:val="clear" w:color="auto" w:fill="auto"/>
        <w:spacing w:before="0" w:after="0" w:line="240" w:lineRule="auto"/>
        <w:ind w:right="-19" w:firstLine="709"/>
        <w:jc w:val="both"/>
      </w:pPr>
      <w:r>
        <w:t>Повышение надежности электроснабжения потребителей.</w:t>
      </w:r>
    </w:p>
    <w:p w:rsidR="00D54DF4" w:rsidRDefault="004A3274" w:rsidP="004A3274">
      <w:pPr>
        <w:pStyle w:val="20"/>
        <w:shd w:val="clear" w:color="auto" w:fill="auto"/>
        <w:spacing w:before="0" w:after="0" w:line="240" w:lineRule="auto"/>
        <w:ind w:right="-19" w:firstLine="709"/>
        <w:jc w:val="both"/>
      </w:pPr>
      <w:r>
        <w:t>Снижение эксплуатационных затрат будущих периодов, включаемых в тариф.</w:t>
      </w:r>
    </w:p>
    <w:p w:rsidR="00D54DF4" w:rsidRDefault="004A3274" w:rsidP="004A3274">
      <w:pPr>
        <w:pStyle w:val="20"/>
        <w:shd w:val="clear" w:color="auto" w:fill="auto"/>
        <w:spacing w:before="0" w:after="0" w:line="240" w:lineRule="auto"/>
        <w:ind w:right="-19" w:firstLine="709"/>
        <w:jc w:val="both"/>
      </w:pPr>
      <w:r>
        <w:t>Задачи, решенные в ходе технического перевооружения, имеют существенный длительный эффект во времени, распространяющийся на весь период эксплуатации создаваемых объектов сетевого хозяйства.</w:t>
      </w:r>
    </w:p>
    <w:p w:rsidR="00D54DF4" w:rsidRDefault="004A3274" w:rsidP="004A3274">
      <w:pPr>
        <w:pStyle w:val="20"/>
        <w:shd w:val="clear" w:color="auto" w:fill="auto"/>
        <w:spacing w:before="0" w:after="0" w:line="240" w:lineRule="auto"/>
        <w:ind w:right="-19" w:firstLine="709"/>
        <w:jc w:val="both"/>
      </w:pPr>
      <w:r>
        <w:t xml:space="preserve">Экономический (инвестиционный) анализ с составлением финансовой модели согласно приложениям </w:t>
      </w:r>
      <w:r w:rsidRPr="004A3274">
        <w:rPr>
          <w:lang w:eastAsia="en-US" w:bidi="en-US"/>
        </w:rPr>
        <w:t xml:space="preserve">2.3., </w:t>
      </w:r>
      <w:r>
        <w:t>4.1., 4.2. к Приказу Минэнерго №114 не проводился, т.к. строительство объектов сетевого хозяйства не является отдельным коммерческим проектом, приводящим к формированию новых денежных потоков (выручка, прибыль).</w:t>
      </w:r>
    </w:p>
    <w:p w:rsidR="00317D9E" w:rsidRDefault="00317D9E" w:rsidP="004A3274">
      <w:pPr>
        <w:pStyle w:val="20"/>
        <w:shd w:val="clear" w:color="auto" w:fill="auto"/>
        <w:spacing w:before="0" w:after="0" w:line="240" w:lineRule="auto"/>
        <w:ind w:right="-19" w:firstLine="709"/>
        <w:jc w:val="left"/>
      </w:pPr>
    </w:p>
    <w:p w:rsidR="00317D9E" w:rsidRDefault="00317D9E" w:rsidP="004A3274">
      <w:pPr>
        <w:pStyle w:val="20"/>
        <w:shd w:val="clear" w:color="auto" w:fill="auto"/>
        <w:spacing w:before="0" w:after="0" w:line="240" w:lineRule="auto"/>
        <w:ind w:right="-19" w:firstLine="709"/>
        <w:jc w:val="left"/>
      </w:pPr>
    </w:p>
    <w:p w:rsidR="00317D9E" w:rsidRDefault="004A3274" w:rsidP="004A3274">
      <w:pPr>
        <w:pStyle w:val="20"/>
        <w:shd w:val="clear" w:color="auto" w:fill="auto"/>
        <w:spacing w:before="0" w:after="0" w:line="240" w:lineRule="auto"/>
        <w:ind w:right="-19" w:firstLine="709"/>
        <w:jc w:val="left"/>
      </w:pPr>
      <w:r>
        <w:t>Генеральный директор О</w:t>
      </w:r>
      <w:r w:rsidR="00317D9E">
        <w:t>А</w:t>
      </w:r>
      <w:r>
        <w:t>О «</w:t>
      </w:r>
      <w:r w:rsidR="00317D9E">
        <w:t>Юрьевецкие</w:t>
      </w:r>
    </w:p>
    <w:p w:rsidR="00D54DF4" w:rsidRDefault="00317D9E" w:rsidP="004A3274">
      <w:pPr>
        <w:pStyle w:val="20"/>
        <w:shd w:val="clear" w:color="auto" w:fill="auto"/>
        <w:spacing w:before="0" w:after="0" w:line="240" w:lineRule="auto"/>
        <w:ind w:right="-19" w:firstLine="709"/>
        <w:jc w:val="left"/>
      </w:pPr>
      <w:r>
        <w:t>электрические сети</w:t>
      </w:r>
      <w:r w:rsidR="004A3274"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Волков А.А.</w:t>
      </w:r>
    </w:p>
    <w:sectPr w:rsidR="00D54DF4" w:rsidSect="004A3274">
      <w:footerReference w:type="default" r:id="rId7"/>
      <w:pgSz w:w="11900" w:h="16840"/>
      <w:pgMar w:top="556" w:right="701" w:bottom="1089" w:left="101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874" w:rsidRDefault="00335874" w:rsidP="00D54DF4">
      <w:r>
        <w:separator/>
      </w:r>
    </w:p>
  </w:endnote>
  <w:endnote w:type="continuationSeparator" w:id="1">
    <w:p w:rsidR="00335874" w:rsidRDefault="00335874" w:rsidP="00D54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E06" w:rsidRDefault="003F5CCE">
    <w:pPr>
      <w:rPr>
        <w:sz w:val="2"/>
        <w:szCs w:val="2"/>
      </w:rPr>
    </w:pPr>
    <w:r w:rsidRPr="003F5CC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2.15pt;margin-top:796.85pt;width:4.3pt;height:6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11E06" w:rsidRDefault="003F5CCE">
                <w:pPr>
                  <w:pStyle w:val="a7"/>
                  <w:shd w:val="clear" w:color="auto" w:fill="auto"/>
                  <w:spacing w:line="240" w:lineRule="auto"/>
                </w:pPr>
                <w:fldSimple w:instr=" PAGE \* MERGEFORMAT ">
                  <w:r w:rsidR="000243F0" w:rsidRPr="000243F0">
                    <w:rPr>
                      <w:rStyle w:val="a8"/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874" w:rsidRDefault="00335874"/>
  </w:footnote>
  <w:footnote w:type="continuationSeparator" w:id="1">
    <w:p w:rsidR="00335874" w:rsidRDefault="0033587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44BF"/>
    <w:multiLevelType w:val="multilevel"/>
    <w:tmpl w:val="32E4AF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5F6816"/>
    <w:multiLevelType w:val="multilevel"/>
    <w:tmpl w:val="A9D281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3E5C51"/>
    <w:multiLevelType w:val="multilevel"/>
    <w:tmpl w:val="D7E402B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32822B7"/>
    <w:multiLevelType w:val="multilevel"/>
    <w:tmpl w:val="F45857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335875"/>
    <w:multiLevelType w:val="multilevel"/>
    <w:tmpl w:val="AB9298D6"/>
    <w:lvl w:ilvl="0">
      <w:start w:val="4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2D6BC1"/>
    <w:multiLevelType w:val="multilevel"/>
    <w:tmpl w:val="42F8A1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FB02E4"/>
    <w:multiLevelType w:val="multilevel"/>
    <w:tmpl w:val="424CC10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F1D0E27"/>
    <w:multiLevelType w:val="multilevel"/>
    <w:tmpl w:val="43CEC582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FFC3433"/>
    <w:multiLevelType w:val="multilevel"/>
    <w:tmpl w:val="8FF077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81"/>
  <w:drawingGridVerticalSpacing w:val="181"/>
  <w:characterSpacingControl w:val="compressPunctuation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54DF4"/>
    <w:rsid w:val="000243F0"/>
    <w:rsid w:val="001E5223"/>
    <w:rsid w:val="00240D09"/>
    <w:rsid w:val="00317D9E"/>
    <w:rsid w:val="00327196"/>
    <w:rsid w:val="00335874"/>
    <w:rsid w:val="003363E4"/>
    <w:rsid w:val="003F5CCE"/>
    <w:rsid w:val="004A3274"/>
    <w:rsid w:val="00642767"/>
    <w:rsid w:val="00685C1D"/>
    <w:rsid w:val="00811E06"/>
    <w:rsid w:val="00855EF8"/>
    <w:rsid w:val="009A392F"/>
    <w:rsid w:val="009B1774"/>
    <w:rsid w:val="00A808A0"/>
    <w:rsid w:val="00AA382C"/>
    <w:rsid w:val="00B80E41"/>
    <w:rsid w:val="00BF5C0C"/>
    <w:rsid w:val="00C06185"/>
    <w:rsid w:val="00D54DF4"/>
    <w:rsid w:val="00EC4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382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54DF4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D54D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sid w:val="00D54D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D54D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оловок №1"/>
    <w:basedOn w:val="1"/>
    <w:rsid w:val="00D54DF4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">
    <w:name w:val="Основной текст (2)"/>
    <w:basedOn w:val="2"/>
    <w:rsid w:val="00D54DF4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D54D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"/>
    <w:rsid w:val="00D54DF4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Exact">
    <w:name w:val="Основной текст (2) Exact"/>
    <w:basedOn w:val="a0"/>
    <w:rsid w:val="00D54D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sid w:val="00D54D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sid w:val="00D54DF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9">
    <w:name w:val="Подпись к таблице"/>
    <w:basedOn w:val="a4"/>
    <w:rsid w:val="00D54DF4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D54DF4"/>
    <w:pPr>
      <w:shd w:val="clear" w:color="auto" w:fill="FFFFFF"/>
      <w:spacing w:after="600" w:line="288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0">
    <w:name w:val="Основной текст (2)"/>
    <w:basedOn w:val="a"/>
    <w:link w:val="2"/>
    <w:rsid w:val="00D54DF4"/>
    <w:pPr>
      <w:shd w:val="clear" w:color="auto" w:fill="FFFFFF"/>
      <w:spacing w:before="600" w:after="12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D54DF4"/>
    <w:pPr>
      <w:shd w:val="clear" w:color="auto" w:fill="FFFFFF"/>
      <w:spacing w:before="480" w:after="12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rsid w:val="00D54D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7">
    <w:name w:val="Колонтитул"/>
    <w:basedOn w:val="a"/>
    <w:link w:val="a6"/>
    <w:rsid w:val="00D54D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2">
    <w:name w:val="Заголовок №1 (2)_"/>
    <w:basedOn w:val="a0"/>
    <w:link w:val="120"/>
    <w:rsid w:val="00AA382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AA382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9pt">
    <w:name w:val="Основной текст (2) + 9 pt;Полужирный"/>
    <w:basedOn w:val="2"/>
    <w:rsid w:val="00AA382C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20">
    <w:name w:val="Заголовок №1 (2)"/>
    <w:basedOn w:val="a"/>
    <w:link w:val="12"/>
    <w:rsid w:val="00AA382C"/>
    <w:pPr>
      <w:shd w:val="clear" w:color="auto" w:fill="FFFFFF"/>
      <w:spacing w:before="600" w:after="240" w:line="0" w:lineRule="atLeast"/>
      <w:jc w:val="center"/>
      <w:outlineLvl w:val="0"/>
    </w:pPr>
    <w:rPr>
      <w:rFonts w:ascii="Times New Roman" w:eastAsia="Times New Roman" w:hAnsi="Times New Roman" w:cs="Times New Roman"/>
      <w:color w:val="auto"/>
    </w:rPr>
  </w:style>
  <w:style w:type="paragraph" w:customStyle="1" w:styleId="40">
    <w:name w:val="Основной текст (4)"/>
    <w:basedOn w:val="a"/>
    <w:link w:val="4"/>
    <w:rsid w:val="00AA382C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color w:val="auto"/>
    </w:rPr>
  </w:style>
  <w:style w:type="character" w:customStyle="1" w:styleId="28pt">
    <w:name w:val="Основной текст (2) + 8 pt"/>
    <w:basedOn w:val="2"/>
    <w:rsid w:val="00685C1D"/>
    <w:rPr>
      <w:color w:val="000000"/>
      <w:spacing w:val="0"/>
      <w:w w:val="100"/>
      <w:position w:val="0"/>
      <w:sz w:val="16"/>
      <w:szCs w:val="16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1</dc:creator>
  <cp:keywords/>
  <cp:lastModifiedBy>Buhg</cp:lastModifiedBy>
  <cp:revision>7</cp:revision>
  <dcterms:created xsi:type="dcterms:W3CDTF">2019-02-25T11:56:00Z</dcterms:created>
  <dcterms:modified xsi:type="dcterms:W3CDTF">2019-08-13T12:58:00Z</dcterms:modified>
</cp:coreProperties>
</file>